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5BF" w:rsidRDefault="004465BF">
      <w:pPr>
        <w:pStyle w:val="ConsPlusNormal"/>
        <w:jc w:val="right"/>
        <w:outlineLvl w:val="0"/>
      </w:pPr>
      <w:r>
        <w:t>Приложение N 18</w:t>
      </w:r>
    </w:p>
    <w:p w:rsidR="004465BF" w:rsidRDefault="004465BF">
      <w:pPr>
        <w:pStyle w:val="ConsPlusNormal"/>
        <w:jc w:val="right"/>
      </w:pPr>
      <w:r>
        <w:t>к государственной программе</w:t>
      </w:r>
    </w:p>
    <w:p w:rsidR="004465BF" w:rsidRDefault="004465BF">
      <w:pPr>
        <w:pStyle w:val="ConsPlusNormal"/>
        <w:jc w:val="right"/>
      </w:pPr>
      <w:r>
        <w:t>Свердловской области "Развитие культуры</w:t>
      </w:r>
    </w:p>
    <w:p w:rsidR="004465BF" w:rsidRDefault="004465BF">
      <w:pPr>
        <w:pStyle w:val="ConsPlusNormal"/>
        <w:jc w:val="right"/>
      </w:pPr>
      <w:r>
        <w:t>в Свердловской области до 2024 года"</w:t>
      </w:r>
    </w:p>
    <w:p w:rsidR="004465BF" w:rsidRDefault="004465BF">
      <w:pPr>
        <w:pStyle w:val="ConsPlusNormal"/>
        <w:jc w:val="both"/>
      </w:pPr>
    </w:p>
    <w:p w:rsidR="004465BF" w:rsidRDefault="004465BF">
      <w:pPr>
        <w:pStyle w:val="ConsPlusTitle"/>
        <w:jc w:val="center"/>
      </w:pPr>
      <w:r>
        <w:t>ПРАВИЛА</w:t>
      </w:r>
    </w:p>
    <w:p w:rsidR="004465BF" w:rsidRDefault="004465BF">
      <w:pPr>
        <w:pStyle w:val="ConsPlusTitle"/>
        <w:jc w:val="center"/>
      </w:pPr>
      <w:r>
        <w:t>ПРЕДОСТАВЛЕНИЯ И РАСПРЕДЕЛЕНИЯ ИНЫХ МЕЖБЮДЖЕТНЫХ ТРАНСФЕРТОВ</w:t>
      </w:r>
    </w:p>
    <w:p w:rsidR="004465BF" w:rsidRDefault="004465BF">
      <w:pPr>
        <w:pStyle w:val="ConsPlusTitle"/>
        <w:jc w:val="center"/>
      </w:pPr>
      <w:r>
        <w:t>ИЗ ОБЛАСТНОГО БЮДЖЕТА БЮДЖЕТАМ МУНИЦИПАЛЬНЫХ ОБРАЗОВАНИЙ,</w:t>
      </w:r>
    </w:p>
    <w:p w:rsidR="004465BF" w:rsidRDefault="004465BF">
      <w:pPr>
        <w:pStyle w:val="ConsPlusTitle"/>
        <w:jc w:val="center"/>
      </w:pPr>
      <w:r>
        <w:t>РАСПОЛОЖЕННЫХ НА ТЕРРИТОРИИ СВЕРДЛОВСКОЙ ОБЛАСТИ,</w:t>
      </w:r>
    </w:p>
    <w:p w:rsidR="004465BF" w:rsidRDefault="004465BF">
      <w:pPr>
        <w:pStyle w:val="ConsPlusTitle"/>
        <w:jc w:val="center"/>
      </w:pPr>
      <w:r>
        <w:t>НА ПРЕДОСТАВЛЕНИЕ ГОСУДАРСТВЕННОЙ ПОДДЕРЖКИ НА КОНКУРСНОЙ</w:t>
      </w:r>
    </w:p>
    <w:p w:rsidR="004465BF" w:rsidRDefault="004465BF">
      <w:pPr>
        <w:pStyle w:val="ConsPlusTitle"/>
        <w:jc w:val="center"/>
      </w:pPr>
      <w:r>
        <w:t>ОСНОВЕ МУНИЦИПАЛЬНЫМ УЧРЕЖДЕНИЯМ КУЛЬТУРЫ</w:t>
      </w:r>
    </w:p>
    <w:p w:rsidR="004465BF" w:rsidRDefault="004465BF">
      <w:pPr>
        <w:pStyle w:val="ConsPlusTitle"/>
        <w:jc w:val="center"/>
      </w:pPr>
      <w:r>
        <w:t>СВЕРДЛОВСКОЙ ОБЛАСТИ</w:t>
      </w:r>
    </w:p>
    <w:p w:rsidR="004465BF" w:rsidRDefault="004465B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465B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5BF" w:rsidRDefault="004465B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5BF" w:rsidRDefault="004465B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65BF" w:rsidRDefault="004465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65BF" w:rsidRDefault="004465B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4465BF" w:rsidRDefault="004465BF">
            <w:pPr>
              <w:pStyle w:val="ConsPlusNormal"/>
              <w:jc w:val="center"/>
            </w:pPr>
            <w:r>
              <w:rPr>
                <w:color w:val="392C69"/>
              </w:rPr>
              <w:t>от 16.12.2021 N 907-ПП)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5BF" w:rsidRDefault="004465BF">
            <w:pPr>
              <w:pStyle w:val="ConsPlusNormal"/>
            </w:pPr>
          </w:p>
        </w:tc>
      </w:tr>
    </w:tbl>
    <w:p w:rsidR="004465BF" w:rsidRDefault="004465BF">
      <w:pPr>
        <w:pStyle w:val="ConsPlusNormal"/>
        <w:jc w:val="both"/>
      </w:pPr>
    </w:p>
    <w:p w:rsidR="004465BF" w:rsidRDefault="004465BF">
      <w:pPr>
        <w:pStyle w:val="ConsPlusNormal"/>
        <w:ind w:firstLine="540"/>
        <w:jc w:val="both"/>
      </w:pPr>
      <w:r>
        <w:t>1. Настоящие правила разработаны в целях обеспечения реализации мероприятий государственной программы Свердловской области "Развитие культуры в Свердловской области до 2024 года" в части предоставления иных межбюджетных трансфертов из областного бюджета бюджетам муниципальных образований, расположенных на территории Свердловской области (далее - муниципальные образования), на предоставление государственной поддержки на конкурсной основе муниципальным учреждениям культуры Свердловской области.</w:t>
      </w:r>
    </w:p>
    <w:p w:rsidR="004465BF" w:rsidRDefault="004465BF">
      <w:pPr>
        <w:pStyle w:val="ConsPlusNormal"/>
        <w:spacing w:before="200"/>
        <w:ind w:firstLine="540"/>
        <w:jc w:val="both"/>
      </w:pPr>
      <w:bookmarkStart w:id="0" w:name="P17"/>
      <w:bookmarkEnd w:id="0"/>
      <w:r>
        <w:t>2. Настоящие правила регламентируют процедуру проведения конкурсного отбора муниципальных образований, предоставления и распределения иных межбюджетных трансфертов из областного бюджета бюджетам муниципальных образований на предоставление государственной поддержки на конкурсной основе муниципальным учреждениям культуры Свердловской области (далее - иные межбюджетные трансферты).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 xml:space="preserve">3. Предоставление иных межбюджетных трансфертов бюджетам муниципальных образований осуществляется за счет средств областного бюджета в пределах лимитов бюджетных обязательств на цель, указанную в </w:t>
      </w:r>
      <w:hyperlink w:anchor="P17">
        <w:r>
          <w:rPr>
            <w:color w:val="0000FF"/>
          </w:rPr>
          <w:t>пункте 2</w:t>
        </w:r>
      </w:hyperlink>
      <w:r>
        <w:t xml:space="preserve"> настоящих правил.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>4. Главным распорядителем средств областного бюджета, предусмотренных для предоставления иных межбюджетных трансфертов, является Министерство культуры Свердловской области (далее - Министерство).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 xml:space="preserve">5. Получателями иных межбюджетных трансфертов являются муниципальные образования, которые прошли конкурсный отбор в соответствии с критериями конкурсного отбора, указанными в </w:t>
      </w:r>
      <w:hyperlink r:id="rId5">
        <w:r>
          <w:rPr>
            <w:color w:val="0000FF"/>
          </w:rPr>
          <w:t>приложениях N 1</w:t>
        </w:r>
      </w:hyperlink>
      <w:r>
        <w:t xml:space="preserve"> - </w:t>
      </w:r>
      <w:hyperlink r:id="rId6">
        <w:r>
          <w:rPr>
            <w:color w:val="0000FF"/>
          </w:rPr>
          <w:t>6</w:t>
        </w:r>
      </w:hyperlink>
      <w:r>
        <w:t xml:space="preserve"> к настоящим правилам (далее - критерии конкурсного отбора).</w:t>
      </w:r>
    </w:p>
    <w:p w:rsidR="004465BF" w:rsidRDefault="004465B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465B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5BF" w:rsidRDefault="004465B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5BF" w:rsidRDefault="004465B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65BF" w:rsidRDefault="00AA037A">
            <w:pPr>
              <w:pStyle w:val="ConsPlusNormal"/>
              <w:jc w:val="both"/>
            </w:pPr>
            <w:hyperlink r:id="rId7">
              <w:r w:rsidR="004465BF">
                <w:rPr>
                  <w:color w:val="0000FF"/>
                </w:rPr>
                <w:t>Постановлением</w:t>
              </w:r>
            </w:hyperlink>
            <w:r w:rsidR="004465BF">
              <w:rPr>
                <w:color w:val="392C69"/>
              </w:rPr>
              <w:t xml:space="preserve"> Правительства Свердловской области от 16.12.2021 N 907-ПП п. 6 изложен в новой редакции, действие которой </w:t>
            </w:r>
            <w:hyperlink r:id="rId8">
              <w:r w:rsidR="004465BF">
                <w:rPr>
                  <w:color w:val="0000FF"/>
                </w:rPr>
                <w:t>распространяется</w:t>
              </w:r>
            </w:hyperlink>
            <w:r w:rsidR="004465BF">
              <w:rPr>
                <w:color w:val="392C69"/>
              </w:rPr>
              <w:t xml:space="preserve"> на правоотношения, возникшие с 01.10.2021.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65BF" w:rsidRDefault="004465BF">
            <w:pPr>
              <w:pStyle w:val="ConsPlusNormal"/>
            </w:pPr>
          </w:p>
        </w:tc>
      </w:tr>
    </w:tbl>
    <w:p w:rsidR="004465BF" w:rsidRDefault="004465BF">
      <w:pPr>
        <w:pStyle w:val="ConsPlusNormal"/>
        <w:spacing w:before="260"/>
        <w:ind w:firstLine="540"/>
        <w:jc w:val="both"/>
      </w:pPr>
      <w:r>
        <w:t>6. Проведение конкурсного отбора осуществляется в текущем финансовом году для предоставления субсидий бюджетам муниципальных образований в очередном финансовом году.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>Для участия в конкурсном отборе муниципальное образование направляет в Министерство заявку на участие в конкурсном отборе (далее - заявка).</w:t>
      </w:r>
    </w:p>
    <w:p w:rsidR="004465BF" w:rsidRDefault="004465BF">
      <w:pPr>
        <w:pStyle w:val="ConsPlusNormal"/>
        <w:jc w:val="both"/>
      </w:pPr>
      <w:r>
        <w:t xml:space="preserve">(п. 6 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16.12.2021 N 907-ПП)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>7. Конкурсный отбор осуществляется конкурсной комиссией. Положение и состав конкурсной комиссии утверждаются приказом Министерства.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>8. Конкурсная комиссия формируется в количестве не менее 9 человек. Членами конкурсной комиссии могут быть работники Министерства, государственных учреждений культуры Свердловской области, в отношении которых Министерство осуществляет функции и полномочия учредителя, являющихся методическими центрами в соответствующей сфере деятельности, ученые, работники сферы культуры и искусства.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lastRenderedPageBreak/>
        <w:t>В состав конкурсной комиссии не могут входить представитель муниципального образования, на территории которого расположено муниципальное учреждение культуры, включенное в заявку, и представитель этого муниципального учреждения культуры.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>Председателем конкурсной комиссии является Министр культуры Свердловской области или лицо, его замещающее.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>9. Иные межбюджетные трансферты предоставляются по результатам конкурсного отбора на основе принципов равенства прав муниципальных образований, участвующих в конкурсном отборе, и гласности.</w:t>
      </w:r>
    </w:p>
    <w:p w:rsidR="004465BF" w:rsidRDefault="004465BF">
      <w:pPr>
        <w:pStyle w:val="ConsPlusNormal"/>
        <w:spacing w:before="200"/>
        <w:ind w:firstLine="540"/>
        <w:jc w:val="both"/>
      </w:pPr>
      <w:bookmarkStart w:id="1" w:name="P30"/>
      <w:bookmarkEnd w:id="1"/>
      <w:r>
        <w:t>10. Конкурсный отбор на предоставление государственной поддержки муниципальным учреждениям культурно-досугового типа проводится по двум номинациям: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>1) "Городские учреждения культурно-досугового типа";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>2) "Сельские учреждения культурно-досугового типа".</w:t>
      </w:r>
    </w:p>
    <w:p w:rsidR="004465BF" w:rsidRDefault="004465BF">
      <w:pPr>
        <w:pStyle w:val="ConsPlusNormal"/>
        <w:spacing w:before="200"/>
        <w:ind w:firstLine="540"/>
        <w:jc w:val="both"/>
      </w:pPr>
      <w:bookmarkStart w:id="2" w:name="P33"/>
      <w:bookmarkEnd w:id="2"/>
      <w:r>
        <w:t>Иные межбюджетные трансферты предоставляются для финансирования расходов по приобретению муниципальными учреждениями культурно-досугового типа театральных кресел, одежды сцены, музыкальных инструментов, мебели, инвентаря, другого специального оборудования и транспортных средств.</w:t>
      </w:r>
    </w:p>
    <w:p w:rsidR="004465BF" w:rsidRDefault="004465BF">
      <w:pPr>
        <w:pStyle w:val="ConsPlusNormal"/>
        <w:spacing w:before="200"/>
        <w:ind w:firstLine="540"/>
        <w:jc w:val="both"/>
      </w:pPr>
      <w:bookmarkStart w:id="3" w:name="P34"/>
      <w:bookmarkEnd w:id="3"/>
      <w:r>
        <w:t>11. Конкурсный отбор на предоставление государственной поддержки муниципальным музеям на создание виртуального проекта проводится по трем номинациям: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>1) "Виртуальная экскурсия";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>2) "Виртуальная выставка (экспозиция)";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>3) "Виртуальный музей".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>Иные межбюджетные трансферты предоставляются для финансирования расходов по созданию муниципальными музеями виртуальных проектов: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 xml:space="preserve">1) виртуальной экскурсии - раздела веб-сайта для размещения экскурсии (тура) по реальной экспозиции музея (или фондохранилищу) с использованием фото- и видеоизображений, </w:t>
      </w:r>
      <w:proofErr w:type="spellStart"/>
      <w:r>
        <w:t>аудиосопровождения</w:t>
      </w:r>
      <w:proofErr w:type="spellEnd"/>
      <w:r>
        <w:t>, других мультимедийных технологий (в том числе архитектурной развертки, интерактивных планов помещений и (или) территории, трехмерной графики, панорамных фотографий);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>2) виртуальной выставки (экспозиции) - размещения в реальном помещении музея технологического оборудования (в том числе проекционного оборудования (проектор-экран), телевизионных панелей, мультимедийных киосков, аудиогидов по экспозиции); размещения (загрузки) на технологическом оборудовании программного обеспечения и содержательного компонента виртуальной выставки (экспозиции);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>3) виртуального музея - веб-сайта для размещения в виртуальном пространстве музея, не существующего в реальности (в том числе фондов, экспозиций, научно-методических публикаций, библиотеки, экскурсий по различным тематикам).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>12. Конкурсный отбор на предоставление государственной поддержки муниципальным музеям на проведение обменных выставок с ведущими федеральными музеями, государственными и муниципальными музеями Свердловской области проводится по двум номинациям: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>1) "Обменная выставка с областным государственным или муниципальным музеем";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>2) "Выставка федерального музея в муниципальном музее".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>Иные межбюджетные трансферты предоставляются для финансирования расходов по проведению муниципальными музеями обменных выставок с ведущими федеральными музеями, государственными и муниципальными музеями Свердловской области.</w:t>
      </w:r>
    </w:p>
    <w:p w:rsidR="004465BF" w:rsidRDefault="004465BF">
      <w:pPr>
        <w:pStyle w:val="ConsPlusNormal"/>
        <w:spacing w:before="200"/>
        <w:ind w:firstLine="540"/>
        <w:jc w:val="both"/>
      </w:pPr>
      <w:bookmarkStart w:id="4" w:name="P46"/>
      <w:bookmarkEnd w:id="4"/>
      <w:r>
        <w:t>13. Конкурсный отбор на предоставление государственной поддержки муниципальным общедоступным (публичным) библиотекам проводится по двум номинациям: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lastRenderedPageBreak/>
        <w:t>1) "Городские общедоступные (публичные) библиотеки";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>2) "Сельские общедоступные (публичные) библиотеки".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 xml:space="preserve">Иные межбюджетные трансферты предоставляются для финансирования расходов по приобретению муниципальными общедоступными (публичными) библиотеками документов на различных носителях для комплектования книжных фондов, компьютерного, мультимедийного, цифрового оборудования, лицензионного программного обеспечения, копировально-множительной техники, мебели, инвентаря, специального оборудования для библиотек, транспортных средств для организации </w:t>
      </w:r>
      <w:proofErr w:type="spellStart"/>
      <w:r>
        <w:t>внестационарного</w:t>
      </w:r>
      <w:proofErr w:type="spellEnd"/>
      <w:r>
        <w:t xml:space="preserve"> библиотечного обслуживания, а также другого специального оборудования для обеспечения безопасности и сохранности библиотечных фондов, автоматизации библиотечных процессов.</w:t>
      </w:r>
    </w:p>
    <w:p w:rsidR="004465BF" w:rsidRDefault="004465BF">
      <w:pPr>
        <w:pStyle w:val="ConsPlusNormal"/>
        <w:spacing w:before="200"/>
        <w:ind w:firstLine="540"/>
        <w:jc w:val="both"/>
      </w:pPr>
      <w:bookmarkStart w:id="5" w:name="P50"/>
      <w:bookmarkEnd w:id="5"/>
      <w:r>
        <w:t>14. Конкурсный отбор на предоставление государственной поддержки муниципальным учреждениям культуры и искусства, осуществляющими профессиональную деятельность в сфере театрального искусства, на организацию показа выездных спектаклей, других публичных представлений на территории Свердловской области и в рамках проведения обменных региональных гастролей проводится по двум номинациям: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>1) "Организация показа выездных спектаклей, других публичных представлений на территории Свердловской области";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>2) "Организация показа выездных спектаклей, других публичных представлений в рамках проведения обменных региональных гастролей".</w:t>
      </w:r>
    </w:p>
    <w:p w:rsidR="004465BF" w:rsidRDefault="004465BF">
      <w:pPr>
        <w:pStyle w:val="ConsPlusNormal"/>
        <w:spacing w:before="200"/>
        <w:ind w:firstLine="540"/>
        <w:jc w:val="both"/>
      </w:pPr>
      <w:bookmarkStart w:id="6" w:name="P53"/>
      <w:bookmarkEnd w:id="6"/>
      <w:r>
        <w:t>Иные межбюджетные трансферты предоставляются для финансирования расходов на реализацию муниципальными учреждениями культуры и искусства, осуществляющими профессиональную деятельность в сфере театрального искусства, гастрольной деятельности, в том числе на приобретение специализированного мобильного оборудования, пошив костюмов, изготовление обуви, головных уборов, постижерских изделий, изготовление декораций и сопутствующего театрального реквизита, необходимого для проведения гастрольной деятельности.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>15. Методики расчетов размера иного межбюджетного трансферта по каждой номинации конкурсного отбора утверждаются приказом (приказами) Министерства (далее - методика).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>16. Информация об условиях и сроках проведения конкурсного отбора размещается в информационно-телекоммуникационной сети "Интернет" на официальном сайте Министерства (www.mkso.ru) (далее - официальный сайт Министерства) в течение 2 рабочих дней со дня принятия решения о проведении конкурсного отбора.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>17. Решение о проведении конкурсного отбора и номинациях конкурсного отбора оформляется приказом Министерства о проведении конкурсного отбора (далее - приказ Министерства) и доводится до муниципальных образований в системе электронного документооборота Правительства Свердловской области в течение 2 рабочих дней со дня издания приказа Министерства.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 xml:space="preserve">18. Исходя из объемов лимитов бюджетных обязательств на предоставление иных межбюджетных трансфертов на цель, указанную в </w:t>
      </w:r>
      <w:hyperlink w:anchor="P17">
        <w:r>
          <w:rPr>
            <w:color w:val="0000FF"/>
          </w:rPr>
          <w:t>пункте 2</w:t>
        </w:r>
      </w:hyperlink>
      <w:r>
        <w:t xml:space="preserve"> настоящих правил (далее - лимиты бюджетных обязательств), Министерство определяет номинации, на которые будет объявлен конкурсный отбор, в соответствии с </w:t>
      </w:r>
      <w:hyperlink w:anchor="P30">
        <w:r>
          <w:rPr>
            <w:color w:val="0000FF"/>
          </w:rPr>
          <w:t>пунктами 10</w:t>
        </w:r>
      </w:hyperlink>
      <w:r>
        <w:t xml:space="preserve"> - </w:t>
      </w:r>
      <w:hyperlink w:anchor="P50">
        <w:r>
          <w:rPr>
            <w:color w:val="0000FF"/>
          </w:rPr>
          <w:t>14</w:t>
        </w:r>
      </w:hyperlink>
      <w:r>
        <w:t xml:space="preserve"> настоящих правил.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>Количество получателей и размер иного межбюджетного трансферта в каждой номинации конкурсного отбора, рассчитанный в соответствии с методикой исходя из объемов лимитов бюджетных обязательств, устанавливаются приказом Министерства о проведении конкурсного отбора.</w:t>
      </w:r>
    </w:p>
    <w:p w:rsidR="004465BF" w:rsidRDefault="004465BF">
      <w:pPr>
        <w:pStyle w:val="ConsPlusNormal"/>
        <w:spacing w:before="200"/>
        <w:ind w:firstLine="540"/>
        <w:jc w:val="both"/>
      </w:pPr>
      <w:bookmarkStart w:id="7" w:name="P59"/>
      <w:bookmarkEnd w:id="7"/>
      <w:r>
        <w:t>19. В течение 2 рабочих дней со дня издания приказа Министерства на официальном сайте Министерства размещаются: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>1) приказ Министерства;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>2) формы заявок, утвержденные приказом Министерства;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>3) настоящие правила;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lastRenderedPageBreak/>
        <w:t>4) извещение о проведении конкурсного отбора.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>20. Извещение о проведении конкурсного отбора должно содержать следующие сведения: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>1) наименование и адрес Министерства;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 xml:space="preserve">2) наименование государственной программы Свердловской области, в рамках реализации которой бюджетам муниципальных образований предоставляются иные межбюджетные трансферты на цель, указанную в </w:t>
      </w:r>
      <w:hyperlink w:anchor="P17">
        <w:r>
          <w:rPr>
            <w:color w:val="0000FF"/>
          </w:rPr>
          <w:t>пункте 2</w:t>
        </w:r>
      </w:hyperlink>
      <w:r>
        <w:t xml:space="preserve"> настоящих правил;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>3) сроки начала подачи заявок и окончания приема заявок, место приема заявок;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>4) ссылку на официальный сайт Министерства, на котором размещены информация о составе документации и требования к оформлению заявки;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>5) контактную информацию.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 xml:space="preserve">21. Муниципальное образование имеет право представить на конкурсный отбор не более одной заявки по каждой номинации, указанной в </w:t>
      </w:r>
      <w:hyperlink w:anchor="P30">
        <w:r>
          <w:rPr>
            <w:color w:val="0000FF"/>
          </w:rPr>
          <w:t>пунктах 10</w:t>
        </w:r>
      </w:hyperlink>
      <w:r>
        <w:t xml:space="preserve"> - </w:t>
      </w:r>
      <w:hyperlink w:anchor="P50">
        <w:r>
          <w:rPr>
            <w:color w:val="0000FF"/>
          </w:rPr>
          <w:t>14</w:t>
        </w:r>
      </w:hyperlink>
      <w:r>
        <w:t xml:space="preserve"> настоящих правил.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>Заявка может быть оформлена как на муниципальное учреждение культуры как юридическое лицо, так и на филиал или структурное подразделение, входящее в состав муниципального учреждения культуры.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 xml:space="preserve">Муниципальное образование имеет право представить на конкурсный отбор заявки по номинациям, указанным в </w:t>
      </w:r>
      <w:hyperlink w:anchor="P34">
        <w:r>
          <w:rPr>
            <w:color w:val="0000FF"/>
          </w:rPr>
          <w:t>пунктах 11</w:t>
        </w:r>
      </w:hyperlink>
      <w:r>
        <w:t xml:space="preserve"> - </w:t>
      </w:r>
      <w:hyperlink w:anchor="P46">
        <w:r>
          <w:rPr>
            <w:color w:val="0000FF"/>
          </w:rPr>
          <w:t>13</w:t>
        </w:r>
      </w:hyperlink>
      <w:r>
        <w:t xml:space="preserve"> настоящих правил, на муниципальные учреждения культуры, которые не являлись получателями государственной поддержки в последние 3 календарных года.</w:t>
      </w:r>
    </w:p>
    <w:p w:rsidR="004465BF" w:rsidRDefault="004465BF">
      <w:pPr>
        <w:pStyle w:val="ConsPlusNormal"/>
        <w:spacing w:before="200"/>
        <w:ind w:firstLine="540"/>
        <w:jc w:val="both"/>
      </w:pPr>
      <w:bookmarkStart w:id="8" w:name="P73"/>
      <w:bookmarkEnd w:id="8"/>
      <w:r>
        <w:t xml:space="preserve">22. Заявка подается на бумажном и электронном носителях по форме, утвержденной приказом Министерства. Заявка оформляется с использованием текстового редактора шрифтом </w:t>
      </w:r>
      <w:proofErr w:type="spellStart"/>
      <w:r>
        <w:t>Liberation</w:t>
      </w:r>
      <w:proofErr w:type="spellEnd"/>
      <w:r>
        <w:t xml:space="preserve"> </w:t>
      </w:r>
      <w:proofErr w:type="spellStart"/>
      <w:r>
        <w:t>Serif</w:t>
      </w:r>
      <w:proofErr w:type="spellEnd"/>
      <w:r>
        <w:t xml:space="preserve"> N 14 через одинарный межстрочный интервал, подписывается руководителем органа местного самоуправления муниципального образования и заверяется печатью органа местного самоуправления муниципального образования.</w:t>
      </w:r>
    </w:p>
    <w:p w:rsidR="004465BF" w:rsidRDefault="004465BF">
      <w:pPr>
        <w:pStyle w:val="ConsPlusNormal"/>
        <w:spacing w:before="200"/>
        <w:ind w:firstLine="540"/>
        <w:jc w:val="both"/>
      </w:pPr>
      <w:bookmarkStart w:id="9" w:name="P74"/>
      <w:bookmarkEnd w:id="9"/>
      <w:r>
        <w:t>23. К заявке прилагаются: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>1) копия устава муниципального учреждения культуры, заверенная подписью руководителя муниципального учреждения культуры и печатью муниципального учреждения культуры;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>2) выписка из Единого государственного реестра юридических лиц, подтверждающая отсутствие ведения процедуры ликвидации в отношении муниципального учреждения культуры;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>3) копия отчета по форме государственной статистической отчетности за предыдущий год;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>4) копии документов налогового органа об отсутствии у муниципального учреждения культуры на дату подачи заявки задолженности по налогам, сборам и иным обязательным платежам в бюджеты бюджетной системы и внебюджетные фонды Российской Федерации, срок исполнения по которым наступил в соответствии с законодательством Российской Федерации, заверенные подписью (электронной подписью) уполномоченного лица;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>5) документы, подтверждающие проведение открытого голосования или конкурсного отбора с целью учета мнения населения муниципального образования по мероприятиям, включенным в заявку;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>6) иные документы и дополнительные материалы, которые необходимо приложить к заявке в соответствии с критериями конкурсного отбора.</w:t>
      </w:r>
    </w:p>
    <w:p w:rsidR="004465BF" w:rsidRDefault="004465BF">
      <w:pPr>
        <w:pStyle w:val="ConsPlusNormal"/>
        <w:spacing w:before="200"/>
        <w:ind w:firstLine="540"/>
        <w:jc w:val="both"/>
      </w:pPr>
      <w:bookmarkStart w:id="10" w:name="P81"/>
      <w:bookmarkEnd w:id="10"/>
      <w:r>
        <w:t xml:space="preserve">24. Документы, входящие в состав заявки, формируются в папку в последовательности, указанной в </w:t>
      </w:r>
      <w:hyperlink w:anchor="P74">
        <w:r>
          <w:rPr>
            <w:color w:val="0000FF"/>
          </w:rPr>
          <w:t>пункте 23</w:t>
        </w:r>
      </w:hyperlink>
      <w:r>
        <w:t xml:space="preserve"> настоящих правил.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>Документы, содержащиеся в папке, должны быть прошиты, пронумерованы и скреплены печатью органа местного самоуправления муниципального образования.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 xml:space="preserve">В состав заявки также включается список входящих в нее документов с указанием номеров </w:t>
      </w:r>
      <w:r>
        <w:lastRenderedPageBreak/>
        <w:t>страниц, на которых расположены документы.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 xml:space="preserve">25. Представленные на конкурсный отбор заявки с приложенными к ним документами, удовлетворяющие требованиям, указанным в </w:t>
      </w:r>
      <w:hyperlink w:anchor="P73">
        <w:r>
          <w:rPr>
            <w:color w:val="0000FF"/>
          </w:rPr>
          <w:t>пунктах 22</w:t>
        </w:r>
      </w:hyperlink>
      <w:r>
        <w:t xml:space="preserve"> - </w:t>
      </w:r>
      <w:hyperlink w:anchor="P81">
        <w:r>
          <w:rPr>
            <w:color w:val="0000FF"/>
          </w:rPr>
          <w:t>24</w:t>
        </w:r>
      </w:hyperlink>
      <w:r>
        <w:t xml:space="preserve"> настоящих правил, регистрируются ответственным секретарем конкурсной комиссии, который является работником Министерства, в журнале регистрации.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 xml:space="preserve">Ответственный секретарь конкурсной комиссии осуществляет консультирование по вопросам оформления заявок и условиям конкурсного отбора по телефону, указанному в извещении о проведении конкурсного отбора, размещенном на официальном сайте Министерства в соответствии с </w:t>
      </w:r>
      <w:hyperlink w:anchor="P59">
        <w:r>
          <w:rPr>
            <w:color w:val="0000FF"/>
          </w:rPr>
          <w:t>пунктом 19</w:t>
        </w:r>
      </w:hyperlink>
      <w:r>
        <w:t xml:space="preserve"> настоящих правил, или лично по месту приема заявок.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>26. Принятые на конкурсный отбор документы не возвращаются.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>27. Основаниями для отказа в принятии заявки являются: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>1) представление заявки только на электронном или только на бумажном носителе;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 xml:space="preserve">2) несоответствие заявки требованиям, указанным в </w:t>
      </w:r>
      <w:hyperlink w:anchor="P73">
        <w:r>
          <w:rPr>
            <w:color w:val="0000FF"/>
          </w:rPr>
          <w:t>пунктах 22</w:t>
        </w:r>
      </w:hyperlink>
      <w:r>
        <w:t xml:space="preserve"> - </w:t>
      </w:r>
      <w:hyperlink w:anchor="P81">
        <w:r>
          <w:rPr>
            <w:color w:val="0000FF"/>
          </w:rPr>
          <w:t>24</w:t>
        </w:r>
      </w:hyperlink>
      <w:r>
        <w:t xml:space="preserve"> настоящих правил;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 xml:space="preserve">3) запрашиваемый в заявке размер иного межбюджетного трансферта превышает объем лимитов бюджетных обязательств на цель, указанную в </w:t>
      </w:r>
      <w:hyperlink w:anchor="P17">
        <w:r>
          <w:rPr>
            <w:color w:val="0000FF"/>
          </w:rPr>
          <w:t>пункте 2</w:t>
        </w:r>
      </w:hyperlink>
      <w:r>
        <w:t xml:space="preserve"> настоящих правил;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 xml:space="preserve">4) получение муниципальным учреждением культуры государственной поддержки по номинациям, указанным в </w:t>
      </w:r>
      <w:hyperlink w:anchor="P34">
        <w:r>
          <w:rPr>
            <w:color w:val="0000FF"/>
          </w:rPr>
          <w:t>пунктах 11</w:t>
        </w:r>
      </w:hyperlink>
      <w:r>
        <w:t xml:space="preserve"> - </w:t>
      </w:r>
      <w:hyperlink w:anchor="P46">
        <w:r>
          <w:rPr>
            <w:color w:val="0000FF"/>
          </w:rPr>
          <w:t>13</w:t>
        </w:r>
      </w:hyperlink>
      <w:r>
        <w:t xml:space="preserve"> настоящих правил, ранее чем через 3 календарных года.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>28. Муниципальное образование может внести изменения в заявку при условии представления в Министерство до истечения установленного срока подачи заявок соответствующего уведомления, подписанного руководителем органа местного самоуправления муниципального образования.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>Уведомление об изменении заявки, полученное Министерством, не может быть отозвано муниципальным образованием.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>29. Изменения к заявке оформляются в соответствии с требованиями, установленными для подачи заявок, с обязательным включением в текст сопроводительного письма слов "Внесение изменений в заявку на участие в конкурсном отборе".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>При неоднократном внесении изменений в заявку каждое уведомление об изменении заявки должно быть пронумеровано в порядке возрастания номера.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>В случае обнаружения противоречий между внесенными изменениями в заявку преимущество имеет изменение в заявку с последним порядковым номером.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>30. После представления в установленном порядке изменений к заявке они становятся ее неотъемлемой частью.</w:t>
      </w:r>
    </w:p>
    <w:p w:rsidR="004465BF" w:rsidRDefault="004465BF">
      <w:pPr>
        <w:pStyle w:val="ConsPlusNormal"/>
        <w:spacing w:before="200"/>
        <w:ind w:firstLine="540"/>
        <w:jc w:val="both"/>
      </w:pPr>
      <w:bookmarkStart w:id="11" w:name="P98"/>
      <w:bookmarkEnd w:id="11"/>
      <w:r>
        <w:t>31. Муниципальное образование вправе в любое время отозвать заявку, направив в Министерство соответствующее уведомление, содержащее текст "Отзыв заявки на участие в конкурсном отборе" и подписанное руководителем органа местного самоуправления муниципального образования.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 xml:space="preserve">Заявка считается отозванной со дня получения Министерством уведомления, указанного в </w:t>
      </w:r>
      <w:hyperlink w:anchor="P98">
        <w:r>
          <w:rPr>
            <w:color w:val="0000FF"/>
          </w:rPr>
          <w:t>части первой</w:t>
        </w:r>
      </w:hyperlink>
      <w:r>
        <w:t xml:space="preserve"> настоящего пункта.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>32. Уведомление об отзыве заявки, полученное Министерством, не может быть отозвано соискателем.</w:t>
      </w:r>
    </w:p>
    <w:p w:rsidR="004465BF" w:rsidRDefault="004465BF">
      <w:pPr>
        <w:pStyle w:val="ConsPlusNormal"/>
        <w:spacing w:before="200"/>
        <w:ind w:firstLine="540"/>
        <w:jc w:val="both"/>
      </w:pPr>
      <w:bookmarkStart w:id="12" w:name="P101"/>
      <w:bookmarkEnd w:id="12"/>
      <w:r>
        <w:t>33. Заявки принимаются в течение 10 рабочих дней со дня размещения на официальном сайте Министерства извещения о проведении конкурсного отбора и рассматриваются конкурсной комиссией в течение 3 рабочих дней со дня окончания приема заявок.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 xml:space="preserve">В случае получения Министерством заявки по истечении установленного в </w:t>
      </w:r>
      <w:hyperlink w:anchor="P101">
        <w:r>
          <w:rPr>
            <w:color w:val="0000FF"/>
          </w:rPr>
          <w:t>части первой</w:t>
        </w:r>
      </w:hyperlink>
      <w:r>
        <w:t xml:space="preserve"> настоящего пункта срока указанная заявка не принимается и не передается для рассмотрения в конкурсную комиссию.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lastRenderedPageBreak/>
        <w:t>34. Конкурсный отбор проводится отдельно по каждой номинации.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>35. Конкурсная комиссия со дня окончания приема заявок оценивает муниципальные образования, заявки которых приняты на конкурсный отбор, на основании представленных документов и в соответствии с критериями конкурсного отбора.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>36. Члены конкурсной комиссии обязаны действовать добросовестно, руководствуясь фактическими данными, содержащимися в каждой заявке и прилагаемых к ней документах.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>37. Решение конкурсной комиссии оформляется протоколом (протоколами) заседания конкурсной комиссии, который (которые) должен (должны) содержать наименование номинации конкурсного отбора, список муниципальных образований - победителей конкурсного отбора в соответствующей номинации, наименования муниципальных учреждений культуры, объем предоставляемого иного межбюджетного трансферта, рейтинг муниципальных образований. Протокол (протоколы) заседания конкурсной комиссии в течение 5 рабочих дней со дня принятия решения конкурсной комиссией подписывается (подписываются) всеми членами конкурсной комиссии.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>После подписания протокола (протоколов) заседания конкурсной комиссии ответственный секретарь конкурсной комиссии в течение 2 рабочих дней готовит приказ (приказы) Министерства об утверждении перечня победителей конкурсного отбора и направляет его (их) для подписания Министру культуры Свердловской области.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>Министерство в срок не позднее 2 рабочих дней со дня издания приказа (приказов) Министерства об утверждении перечня победителей конкурсного отбора размещает соответствующую информацию на официальном сайте Министерства.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>38. В ходе проведения работы по отбору муниципальных образований, распределению иных межбюджетных трансфертов, подведению итогов конкурсного отбора конкурсной комиссией у муниципальных образований могут быть запрошены необходимые пояснения по представленным заявкам. Пояснения не могут изменять сути и содержания поданной заявки и входящих в ее состав документов.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>39. Информация относительно изучения, рассмотрения принятых заявок и оценки муниципальных образований не подлежит разглашению до официального объявления результатов конкурсного отбора.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>40. Распределение иных межбюджетных трансфертов бюджетам муниципальных образований осуществляется по следующей методике: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>1) определение размера иного межбюджетного трансферта бюджету i-</w:t>
      </w:r>
      <w:proofErr w:type="spellStart"/>
      <w:r>
        <w:t>го</w:t>
      </w:r>
      <w:proofErr w:type="spellEnd"/>
      <w:r>
        <w:t xml:space="preserve"> муниципального образования;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>2) распределение иных межбюджетных трансфертов между бюджетами муниципальных образований.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>41. Расчет размера иного межбюджетного трансферта бюджету i-</w:t>
      </w:r>
      <w:proofErr w:type="spellStart"/>
      <w:r>
        <w:t>го</w:t>
      </w:r>
      <w:proofErr w:type="spellEnd"/>
      <w:r>
        <w:t xml:space="preserve"> муниципального образования определяется по формуле:</w:t>
      </w:r>
    </w:p>
    <w:p w:rsidR="004465BF" w:rsidRDefault="004465BF">
      <w:pPr>
        <w:pStyle w:val="ConsPlusNormal"/>
        <w:jc w:val="both"/>
      </w:pPr>
    </w:p>
    <w:p w:rsidR="004465BF" w:rsidRDefault="004465BF">
      <w:pPr>
        <w:pStyle w:val="ConsPlusNormal"/>
        <w:jc w:val="center"/>
      </w:pPr>
      <w:proofErr w:type="spellStart"/>
      <w:r>
        <w:t>ИМТоб</w:t>
      </w:r>
      <w:proofErr w:type="spellEnd"/>
      <w:r>
        <w:t xml:space="preserve"> = Ос</w:t>
      </w:r>
      <w:r>
        <w:rPr>
          <w:vertAlign w:val="subscript"/>
        </w:rPr>
        <w:t>1</w:t>
      </w:r>
      <w:r>
        <w:t xml:space="preserve"> + Ос</w:t>
      </w:r>
      <w:r>
        <w:rPr>
          <w:vertAlign w:val="subscript"/>
        </w:rPr>
        <w:t>2</w:t>
      </w:r>
      <w:r>
        <w:t xml:space="preserve"> +</w:t>
      </w:r>
      <w:proofErr w:type="gramStart"/>
      <w:r>
        <w:t xml:space="preserve"> ....</w:t>
      </w:r>
      <w:proofErr w:type="gramEnd"/>
      <w:r>
        <w:t xml:space="preserve">. + </w:t>
      </w:r>
      <w:proofErr w:type="spellStart"/>
      <w:r>
        <w:t>Ос</w:t>
      </w:r>
      <w:r>
        <w:rPr>
          <w:vertAlign w:val="subscript"/>
        </w:rPr>
        <w:t>n</w:t>
      </w:r>
      <w:proofErr w:type="spellEnd"/>
      <w:r>
        <w:t>, где:</w:t>
      </w:r>
    </w:p>
    <w:p w:rsidR="004465BF" w:rsidRDefault="004465BF">
      <w:pPr>
        <w:pStyle w:val="ConsPlusNormal"/>
        <w:jc w:val="both"/>
      </w:pPr>
    </w:p>
    <w:p w:rsidR="004465BF" w:rsidRDefault="004465BF">
      <w:pPr>
        <w:pStyle w:val="ConsPlusNormal"/>
        <w:ind w:firstLine="540"/>
        <w:jc w:val="both"/>
      </w:pPr>
      <w:proofErr w:type="spellStart"/>
      <w:r>
        <w:t>ИМТоб</w:t>
      </w:r>
      <w:proofErr w:type="spellEnd"/>
      <w:r>
        <w:t xml:space="preserve"> - размер иного межбюджетного трансферта;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>Ос - объем средств на предоставление иного межбюджетного трансферта бюджету i-</w:t>
      </w:r>
      <w:proofErr w:type="spellStart"/>
      <w:r>
        <w:t>го</w:t>
      </w:r>
      <w:proofErr w:type="spellEnd"/>
      <w:r>
        <w:t xml:space="preserve"> муниципального образования в соответствующей номинации конкурсного отбора.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>42. Распределение иных межбюджетных трансфертов бюджетам муниципальных образований осуществляется с учетом рейтинга муниципальных образований, сформированного конкурсной комиссией по количеству баллов, полученных после оценки муниципальных образований в соответствии с критериями конкурсного отбора.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>Первыми в рейтинге располагаются муниципальные образования, набравшие наибольшее количество баллов.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 xml:space="preserve">Муниципальные образования, получившие одинаковое количество баллов, располагаются в </w:t>
      </w:r>
      <w:r>
        <w:lastRenderedPageBreak/>
        <w:t>рейтинге по дате поступления заявок.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>43. Распределение иных межбюджетных трансфертов между бюджетами муниципальных образований утверждается постановлением Правительства Свердловской области.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>44. Срок использования иного межбюджетного трансферта органом местного самоуправления муниципального образования - до 1 декабря года, в течение которого предоставлен иной межбюджетный трансферт.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>45. Иные межбюджетные трансферты предоставляются бюджетам муниципальных образований на основании соглашений о предоставлении иных межбюджетных трансфертов (далее - соглашения), заключаемых между Министерством и органом местного самоуправления муниципального образования в соответствии с формой соглашения, утвержденной приказом Министерства.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>46. Соглашение должно содержать: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>1) сведения о размере иного межбюджетного трансферта, предоставляемого бюджету муниципального образования;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>2) сведения о целевом назначении иного межбюджетного трансферта;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>3) порядок осуществления контроля за исполнением условий соглашения;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>4) обязательство муниципального образования о представлении в Министерство отчетов об исполнении условий соглашения;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>5) ответственность сторон за нарушение условий соглашения;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>6) срок действия соглашения.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>47. Соглашения заключаются до 15 февраля года, в котором предоставляются иные межбюджетные трансферты.</w:t>
      </w:r>
    </w:p>
    <w:p w:rsidR="004465BF" w:rsidRDefault="004465BF">
      <w:pPr>
        <w:pStyle w:val="ConsPlusNormal"/>
        <w:jc w:val="both"/>
      </w:pPr>
      <w:r>
        <w:t xml:space="preserve">(п. 47 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16.12.2021 N 907-ПП)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 xml:space="preserve">48. Средства, полученные из областного бюджета в форме иных межбюджетных трансфертов, подлежат зачислению в доходы бюджетов муниципальных образований по соответствующим кодам бюджетной классификации и направляются на финансирование расходов, указанных в </w:t>
      </w:r>
      <w:hyperlink w:anchor="P33">
        <w:r>
          <w:rPr>
            <w:color w:val="0000FF"/>
          </w:rPr>
          <w:t>частях вторых пунктов 10</w:t>
        </w:r>
      </w:hyperlink>
      <w:r>
        <w:t xml:space="preserve"> - </w:t>
      </w:r>
      <w:hyperlink w:anchor="P53">
        <w:r>
          <w:rPr>
            <w:color w:val="0000FF"/>
          </w:rPr>
          <w:t>14</w:t>
        </w:r>
      </w:hyperlink>
      <w:r>
        <w:t xml:space="preserve"> настоящих правил.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>49. Порядок расходования иного межбюджетного трансферта определяется муниципальным образованием в соответствии с заявкой и заключенным соглашением.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>50. Орган местного самоуправления муниципального образования представляет в Министерство отчеты по формам, установленным в соглашении.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>Ответственность за достоверность представляемых в Министерство отчетов возлагается на орган местного самоуправления муниципального образования.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>51. Средства, полученные из областного бюджета в форме иных межбюджетных трансфертов, носят целевой характер и не могут быть использованы на иные цели.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>52. Несоблюдение органом местного самоуправления муниципального образования условий предоставления иного межбюджетного трансферта и нецелевое использование бюджетных средств влекут применение мер ответственности, предусмотренных административным и бюджетным законодательством Российской Федерации.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>53. Контроль за соблюдением органом местного самоуправления муниципального образования цели, условий и правил предоставления иного межбюджетного трансферта осуществляется Министерством.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>Министерство после представления органом местного самоуправления муниципального образования отчетов, а также по иным основаниям, предусмотренным соглашением, проводит обязательные проверки соблюдения органом местного самоуправления муниципального образования цели, условий и правил предоставления иного межбюджетного трансферта.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lastRenderedPageBreak/>
        <w:t>При выявлении Министерством нарушений органом местного самоуправления муниципального образования цели, условий и правил предоставления иного межбюджетного трансферта материалы проверок направляются в Министерство финансов Свердловской области.</w:t>
      </w:r>
    </w:p>
    <w:p w:rsidR="004465BF" w:rsidRDefault="004465BF">
      <w:pPr>
        <w:pStyle w:val="ConsPlusNormal"/>
        <w:spacing w:before="200"/>
        <w:ind w:firstLine="540"/>
        <w:jc w:val="both"/>
      </w:pPr>
      <w:bookmarkStart w:id="13" w:name="P144"/>
      <w:bookmarkEnd w:id="13"/>
      <w:r>
        <w:t>Иной межбюджетный трансферт подлежит возврату органом местного самоуправления муниципального образования в областной бюджет в течение 30 рабочих дней со дня получения соответствующего требования Министерства о возврате средств иного межбюджетного трансферта.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>Требование о возврате средств иного межбюджетного трансферта направляется Министерством в течение 10 рабочих дней со дня выявления нарушений органом местного самоуправления муниципального образования цели, условий и правил предоставления иного межбюджетного трансферта.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 xml:space="preserve">При невозврате иного межбюджетного трансферта в срок, указанный в </w:t>
      </w:r>
      <w:hyperlink w:anchor="P144">
        <w:r>
          <w:rPr>
            <w:color w:val="0000FF"/>
          </w:rPr>
          <w:t>части четвертой</w:t>
        </w:r>
      </w:hyperlink>
      <w:r>
        <w:t xml:space="preserve"> настоящего пункта, Министерство принимает меры по взысканию с органа местного самоуправления муниципального образования подлежащих возврату в областной бюджет средств иного межбюджетного трансферта в судебном порядке.</w:t>
      </w:r>
    </w:p>
    <w:p w:rsidR="004465BF" w:rsidRDefault="004465BF">
      <w:pPr>
        <w:pStyle w:val="ConsPlusNormal"/>
        <w:spacing w:before="200"/>
        <w:ind w:firstLine="540"/>
        <w:jc w:val="both"/>
      </w:pPr>
      <w:r>
        <w:t>54. В соответствии с бюджетным законодательством Российской Федерации контроль за соблюдением органом местного самоуправления муниципального образования цели, условий и правил предоставления иного межбюджетного трансферта осуществляется органами государственного финансового контроля Свердловской области на основании ежегодных планов контрольных мероприятий и при наличии оснований во внеплановом порядке.</w:t>
      </w:r>
    </w:p>
    <w:p w:rsidR="004465BF" w:rsidRDefault="004465BF">
      <w:pPr>
        <w:pStyle w:val="ConsPlusNormal"/>
        <w:jc w:val="both"/>
      </w:pPr>
    </w:p>
    <w:p w:rsidR="004465BF" w:rsidRDefault="004465BF">
      <w:pPr>
        <w:pStyle w:val="ConsPlusNormal"/>
        <w:jc w:val="both"/>
      </w:pPr>
    </w:p>
    <w:p w:rsidR="004465BF" w:rsidRDefault="00AA037A">
      <w:pPr>
        <w:pStyle w:val="ConsPlusNormal"/>
        <w:rPr>
          <w:i/>
          <w:color w:val="0000FF"/>
        </w:rPr>
      </w:pPr>
      <w:hyperlink r:id="rId11">
        <w:r w:rsidR="004465BF">
          <w:rPr>
            <w:i/>
            <w:color w:val="0000FF"/>
          </w:rPr>
          <w:br/>
          <w:t>Постановление Правительства Свердловской области от 21.10.2013 N 1268-ПП (ред. от 24.03.2022) "Об утверждении государственной программы Свердловской области "Развитие культуры в Свердловской области до 2024 года" {</w:t>
        </w:r>
        <w:proofErr w:type="spellStart"/>
        <w:r w:rsidR="004465BF">
          <w:rPr>
            <w:i/>
            <w:color w:val="0000FF"/>
          </w:rPr>
          <w:t>КонсультантПлюс</w:t>
        </w:r>
        <w:proofErr w:type="spellEnd"/>
        <w:r w:rsidR="004465BF">
          <w:rPr>
            <w:i/>
            <w:color w:val="0000FF"/>
          </w:rPr>
          <w:t>}</w:t>
        </w:r>
      </w:hyperlink>
    </w:p>
    <w:p w:rsidR="004465BF" w:rsidRDefault="004465BF">
      <w:pPr>
        <w:pStyle w:val="ConsPlusNormal"/>
        <w:rPr>
          <w:i/>
          <w:color w:val="0000FF"/>
        </w:rPr>
      </w:pPr>
    </w:p>
    <w:p w:rsidR="004465BF" w:rsidRDefault="004465BF">
      <w:pPr>
        <w:pStyle w:val="ConsPlusNormal"/>
        <w:rPr>
          <w:i/>
          <w:color w:val="0000FF"/>
        </w:rPr>
      </w:pPr>
    </w:p>
    <w:p w:rsidR="004465BF" w:rsidRDefault="004465BF">
      <w:pPr>
        <w:pStyle w:val="ConsPlusNormal"/>
        <w:rPr>
          <w:i/>
          <w:color w:val="0000FF"/>
        </w:rPr>
      </w:pPr>
    </w:p>
    <w:p w:rsidR="004465BF" w:rsidRDefault="004465BF">
      <w:pPr>
        <w:pStyle w:val="ConsPlusNormal"/>
        <w:rPr>
          <w:i/>
          <w:color w:val="0000FF"/>
        </w:rPr>
      </w:pPr>
    </w:p>
    <w:p w:rsidR="004465BF" w:rsidRDefault="004465BF">
      <w:pPr>
        <w:pStyle w:val="ConsPlusNormal"/>
        <w:rPr>
          <w:i/>
          <w:color w:val="0000FF"/>
        </w:rPr>
      </w:pPr>
    </w:p>
    <w:p w:rsidR="004465BF" w:rsidRDefault="004465BF">
      <w:pPr>
        <w:pStyle w:val="ConsPlusNormal"/>
        <w:rPr>
          <w:i/>
          <w:color w:val="0000FF"/>
        </w:rPr>
      </w:pPr>
    </w:p>
    <w:p w:rsidR="004465BF" w:rsidRDefault="004465BF">
      <w:pPr>
        <w:pStyle w:val="ConsPlusNormal"/>
        <w:rPr>
          <w:i/>
          <w:color w:val="0000FF"/>
        </w:rPr>
      </w:pPr>
    </w:p>
    <w:p w:rsidR="004465BF" w:rsidRDefault="004465BF">
      <w:pPr>
        <w:pStyle w:val="ConsPlusNormal"/>
        <w:rPr>
          <w:i/>
          <w:color w:val="0000FF"/>
        </w:rPr>
      </w:pPr>
    </w:p>
    <w:p w:rsidR="004465BF" w:rsidRDefault="004465BF">
      <w:pPr>
        <w:pStyle w:val="ConsPlusNormal"/>
        <w:rPr>
          <w:i/>
          <w:color w:val="0000FF"/>
        </w:rPr>
      </w:pPr>
    </w:p>
    <w:p w:rsidR="004465BF" w:rsidRDefault="004465BF">
      <w:pPr>
        <w:pStyle w:val="ConsPlusNormal"/>
        <w:rPr>
          <w:i/>
          <w:color w:val="0000FF"/>
        </w:rPr>
      </w:pPr>
    </w:p>
    <w:p w:rsidR="004465BF" w:rsidRDefault="004465BF">
      <w:pPr>
        <w:pStyle w:val="ConsPlusNormal"/>
        <w:rPr>
          <w:i/>
          <w:color w:val="0000FF"/>
        </w:rPr>
      </w:pPr>
    </w:p>
    <w:p w:rsidR="004465BF" w:rsidRDefault="004465BF">
      <w:pPr>
        <w:pStyle w:val="ConsPlusNormal"/>
        <w:rPr>
          <w:i/>
          <w:color w:val="0000FF"/>
        </w:rPr>
      </w:pPr>
    </w:p>
    <w:p w:rsidR="004465BF" w:rsidRDefault="004465BF">
      <w:pPr>
        <w:pStyle w:val="ConsPlusNormal"/>
        <w:rPr>
          <w:i/>
          <w:color w:val="0000FF"/>
        </w:rPr>
      </w:pPr>
    </w:p>
    <w:p w:rsidR="004465BF" w:rsidRDefault="004465BF">
      <w:pPr>
        <w:pStyle w:val="ConsPlusNormal"/>
        <w:rPr>
          <w:i/>
          <w:color w:val="0000FF"/>
        </w:rPr>
      </w:pPr>
    </w:p>
    <w:p w:rsidR="004465BF" w:rsidRDefault="004465BF">
      <w:pPr>
        <w:pStyle w:val="ConsPlusNormal"/>
        <w:rPr>
          <w:i/>
          <w:color w:val="0000FF"/>
        </w:rPr>
      </w:pPr>
    </w:p>
    <w:p w:rsidR="004465BF" w:rsidRDefault="004465BF">
      <w:pPr>
        <w:pStyle w:val="ConsPlusNormal"/>
        <w:rPr>
          <w:i/>
          <w:color w:val="0000FF"/>
        </w:rPr>
      </w:pPr>
    </w:p>
    <w:p w:rsidR="004465BF" w:rsidRDefault="004465BF">
      <w:pPr>
        <w:pStyle w:val="ConsPlusNormal"/>
        <w:rPr>
          <w:i/>
          <w:color w:val="0000FF"/>
        </w:rPr>
      </w:pPr>
    </w:p>
    <w:p w:rsidR="004465BF" w:rsidRDefault="004465BF">
      <w:pPr>
        <w:pStyle w:val="ConsPlusNormal"/>
        <w:rPr>
          <w:i/>
          <w:color w:val="0000FF"/>
        </w:rPr>
      </w:pPr>
    </w:p>
    <w:p w:rsidR="004465BF" w:rsidRDefault="004465BF">
      <w:pPr>
        <w:pStyle w:val="ConsPlusNormal"/>
        <w:rPr>
          <w:i/>
          <w:color w:val="0000FF"/>
        </w:rPr>
      </w:pPr>
    </w:p>
    <w:p w:rsidR="004465BF" w:rsidRDefault="004465BF">
      <w:pPr>
        <w:pStyle w:val="ConsPlusNormal"/>
        <w:rPr>
          <w:i/>
          <w:color w:val="0000FF"/>
        </w:rPr>
      </w:pPr>
    </w:p>
    <w:p w:rsidR="004465BF" w:rsidRDefault="004465BF">
      <w:pPr>
        <w:pStyle w:val="ConsPlusNormal"/>
        <w:rPr>
          <w:i/>
          <w:color w:val="0000FF"/>
        </w:rPr>
      </w:pPr>
    </w:p>
    <w:p w:rsidR="004465BF" w:rsidRDefault="004465BF">
      <w:pPr>
        <w:pStyle w:val="ConsPlusNormal"/>
        <w:rPr>
          <w:i/>
          <w:color w:val="0000FF"/>
        </w:rPr>
      </w:pPr>
    </w:p>
    <w:p w:rsidR="004465BF" w:rsidRDefault="004465BF">
      <w:pPr>
        <w:pStyle w:val="ConsPlusNormal"/>
        <w:rPr>
          <w:i/>
          <w:color w:val="0000FF"/>
        </w:rPr>
      </w:pPr>
    </w:p>
    <w:p w:rsidR="004465BF" w:rsidRDefault="004465BF">
      <w:pPr>
        <w:pStyle w:val="ConsPlusNormal"/>
        <w:rPr>
          <w:i/>
          <w:color w:val="0000FF"/>
        </w:rPr>
      </w:pPr>
    </w:p>
    <w:p w:rsidR="004465BF" w:rsidRDefault="004465BF">
      <w:pPr>
        <w:pStyle w:val="ConsPlusNormal"/>
        <w:rPr>
          <w:i/>
          <w:color w:val="0000FF"/>
        </w:rPr>
      </w:pPr>
    </w:p>
    <w:p w:rsidR="004465BF" w:rsidRDefault="004465BF">
      <w:pPr>
        <w:pStyle w:val="ConsPlusNormal"/>
        <w:rPr>
          <w:i/>
          <w:color w:val="0000FF"/>
        </w:rPr>
      </w:pPr>
      <w:bookmarkStart w:id="14" w:name="_GoBack"/>
      <w:bookmarkEnd w:id="14"/>
    </w:p>
    <w:p w:rsidR="004465BF" w:rsidRDefault="004465BF">
      <w:pPr>
        <w:pStyle w:val="ConsPlusNormal"/>
        <w:rPr>
          <w:i/>
          <w:color w:val="0000FF"/>
        </w:rPr>
      </w:pPr>
    </w:p>
    <w:p w:rsidR="004465BF" w:rsidRDefault="004465BF">
      <w:pPr>
        <w:pStyle w:val="ConsPlusNormal"/>
        <w:rPr>
          <w:i/>
          <w:color w:val="0000FF"/>
        </w:rPr>
      </w:pPr>
    </w:p>
    <w:p w:rsidR="004465BF" w:rsidRDefault="004465BF">
      <w:pPr>
        <w:pStyle w:val="ConsPlusNormal"/>
        <w:rPr>
          <w:i/>
          <w:color w:val="0000FF"/>
        </w:rPr>
      </w:pPr>
    </w:p>
    <w:p w:rsidR="004465BF" w:rsidRDefault="004465BF">
      <w:pPr>
        <w:pStyle w:val="ConsPlusNormal"/>
        <w:rPr>
          <w:i/>
          <w:color w:val="0000FF"/>
        </w:rPr>
      </w:pPr>
    </w:p>
    <w:p w:rsidR="004465BF" w:rsidRDefault="004465BF" w:rsidP="00AA037A">
      <w:pPr>
        <w:pStyle w:val="ConsPlusNormal"/>
      </w:pPr>
      <w:r>
        <w:br/>
      </w:r>
    </w:p>
    <w:p w:rsidR="004465BF" w:rsidRDefault="004465BF">
      <w:pPr>
        <w:pStyle w:val="ConsPlusNormal"/>
        <w:spacing w:line="200" w:lineRule="auto"/>
        <w:jc w:val="both"/>
      </w:pPr>
    </w:p>
    <w:sectPr w:rsidR="004465BF" w:rsidSect="00472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BF"/>
    <w:rsid w:val="004465BF"/>
    <w:rsid w:val="004D1DEF"/>
    <w:rsid w:val="00A30112"/>
    <w:rsid w:val="00AA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7FB87-3AC4-4E19-8137-6DF3F063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5B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465B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6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6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3B234898B621B79674E6309236FD9BE5DDA31EF003E630836116158C6ECB7579C8766C598B42677EFA2B363FB58F404A830BD13596C5005EC6C08KEJE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73B234898B621B79674E6309236FD9BE5DDA31EF003E630836116158C6ECB7579C8766C598B42677EFA2BD68FB58F404A830BD13596C5005EC6C08KEJE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73B234898B621B79674E6309236FD9BE5DDA31EF0333650937116158C6ECB7579C8766C598B4267EE8A6B967FB58F404A830BD13596C5005EC6C08KEJEH" TargetMode="External"/><Relationship Id="rId11" Type="http://schemas.openxmlformats.org/officeDocument/2006/relationships/hyperlink" Target="consultantplus://offline/ref=FC73B234898B621B79674E6309236FD9BE5DDA31EF0333650937116158C6ECB7579C8766C598B4267EE8A3BC60FB58F404A830BD13596C5005EC6C08KEJEH" TargetMode="External"/><Relationship Id="rId5" Type="http://schemas.openxmlformats.org/officeDocument/2006/relationships/hyperlink" Target="consultantplus://offline/ref=FC73B234898B621B79674E6309236FD9BE5DDA31EF0333650937116158C6ECB7579C8766C598B4267EE8A0B361FB58F404A830BD13596C5005EC6C08KEJEH" TargetMode="External"/><Relationship Id="rId10" Type="http://schemas.openxmlformats.org/officeDocument/2006/relationships/hyperlink" Target="consultantplus://offline/ref=FC73B234898B621B79674E6309236FD9BE5DDA31EF003E630836116158C6ECB7579C8766C598B42677EFA2B263FB58F404A830BD13596C5005EC6C08KEJEH" TargetMode="External"/><Relationship Id="rId4" Type="http://schemas.openxmlformats.org/officeDocument/2006/relationships/hyperlink" Target="consultantplus://offline/ref=FC73B234898B621B79674E6309236FD9BE5DDA31EF003E630836116158C6ECB7579C8766C598B42677EFA2BD68FB58F404A830BD13596C5005EC6C08KEJEH" TargetMode="External"/><Relationship Id="rId9" Type="http://schemas.openxmlformats.org/officeDocument/2006/relationships/hyperlink" Target="consultantplus://offline/ref=FC73B234898B621B79674E6309236FD9BE5DDA31EF003E630836116158C6ECB7579C8766C598B42677EFA2BD68FB58F404A830BD13596C5005EC6C08KEJ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3918</Words>
  <Characters>22339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Щинова Ольга Владимировна</dc:creator>
  <cp:keywords/>
  <dc:description/>
  <cp:lastModifiedBy>Щинова Ольга Владимировна</cp:lastModifiedBy>
  <cp:revision>3</cp:revision>
  <cp:lastPrinted>2022-08-08T07:11:00Z</cp:lastPrinted>
  <dcterms:created xsi:type="dcterms:W3CDTF">2022-08-08T07:09:00Z</dcterms:created>
  <dcterms:modified xsi:type="dcterms:W3CDTF">2022-08-09T11:44:00Z</dcterms:modified>
</cp:coreProperties>
</file>